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199</w:t>
      </w:r>
    </w:p>
    <w:p>
      <w:r>
        <w:t>Bundesgericht (BGE), 1968-01-31, DE</w:t>
      </w:r>
    </w:p>
    <w:p>
      <w:r>
        <w:rPr>
          <w:b/>
        </w:rPr>
        <w:t xml:space="preserve">Quelle: </w:t>
      </w:r>
      <w:r>
        <w:t>https://mcp.opencaselaw.ch/entscheid/bge_94 I 199</w:t>
      </w:r>
    </w:p>
    <w:p>
      <w:r>
        <w:t>FR: ATF 94 I 199</w:t>
      </w:r>
    </w:p>
    <w:p>
      <w:r>
        <w:t>IT: DTF 94 I 199</w:t>
      </w:r>
    </w:p>
    <w:p>
      <w:pPr>
        <w:pStyle w:val="Heading2"/>
      </w:pPr>
      <w:r>
        <w:t>Regeste</w:t>
      </w:r>
    </w:p>
    <w:p>
      <w:r>
        <w:t>Regeste Verteilung der Parteirollen im Patentnichtigkeitsprozess; Art. 86 Abs. 1 2. Halbsatz PatG. Zulässigkeit der staatsrechtlichen Beschwerde gegen einen sich äusserlich als Zwischenentscheid darstellenden letztinstanzlichen kantonalen Entscheid. Hat der Angeschuldigte die Einrede der Nichtigkeit des Patentes des Strafanzeigers erhoben, dann verletzt die zuständige Behörde in keinem Fall Art. 4 BV, wenn sie ihm die Klägerrolle im Nichtigkeitsprozess zuteilt. Hingegen ist es willkürlich, dem Angeschuldigten Frist zur Feststellungsklage betreffend die Rechtsbeständigkeit seines eigenen Patentes anzusetzen.</w:t>
      </w:r>
    </w:p>
    <w:p>
      <w:pPr>
        <w:pStyle w:val="Heading2"/>
      </w:pPr>
      <w:r>
        <w:t>Erwägungen</w:t>
      </w:r>
    </w:p>
    <w:p>
      <w:r>
        <w:rPr>
          <w:b/>
        </w:rPr>
        <w:t>E. 1</w:t>
      </w:r>
    </w:p>
    <w:p>
      <w:r>
        <w:t>a) Die angefochtene Verfügung der Staatsanwaltschaft ist nach § 409 der zürch. PZO endgültig, also ein letztinstanzlicher kantonaler Entscheid. Sie stellt in prozessualem Sinne einen Zwischenentscheid dar, mit welchem das weitere Verfahren geleitet wird. Zwar sind Zwischenentscheide grundsätzlich nur dann mit staatsrechtlicher Beschwerde wegen Verletzung von Art. 4 BV anfechtbar, wenn sie für die Betroffenen einen nicht wiedergutzumachenden Nachteil zur Folge haben ( Art. 87 OG ). Indessen gilt diese Beschränkung nach der Rechtsprechung nicht für alle Entscheide, die im Verlaufe eines Verfahrens ergehen und die äusserlich Zwischenentscheide sind ( BGE 87 I 177 ). Vielmehr können Prozessökonomie und Zweckmässigkeit sowie das wohlverstandene Interesse der Gegenpartei verlangen, dass der Beschwerdeführer sofort handle und nicht den Endentscheid abwarte. In diesem Sinne fallen beispielsweise Entscheide über die Zusammensetzung des Gerichts und solche über die sachliche oder örtliche Zuständigkeit nicht unter Art. 87 OG ( BGE 87 I 177 mit Verweisungen). Gleich verhält es sich im vorliegenden Fall. Werden die Parteirollen bei Anwendung von Art. 86 PatG nicht richtig verteilt, besteht die Gefahr, das ganze Verfahren aufheben oder BGE 94 I 199 S. 202 ein mit unrichtiger Rollenverteilung durchgeführtes Verfahren, dessen Ausgang durch allfällige Beweislosigkeit entschieden worden ist, bestehen lassen zu müssen. Der Beschwerdeführer war daher befugt, die Verfügung der Staatsanwaltschaft mit staatsrechtlicher Beschwerde anzufechten, und es braucht mithin nicht geprüft zu werden, ob jene Verfügung für den Betroffenen einen nicht wiedergutzumachenden Nachteil zur Folge habe. b) Beschwerden der vorliegenden Art sind jedoch rein kassatorischer Natur ( BGE 92 I 97 , BGE 91 I 411 je mit Hinweisen). Soweit der Beschwerdeführer mehr verlangt als die Aufhebung des angefochtenen Entscheides, ist demnach auf seine Begehren nicht einzutreten.</w:t>
      </w:r>
    </w:p>
    <w:p>
      <w:r>
        <w:rPr>
          <w:b/>
        </w:rPr>
        <w:t>E. 2</w:t>
      </w:r>
    </w:p>
    <w:p>
      <w:r>
        <w:t>Die Staatsanwaltschaft begründet ihre Verfügung damit, Art. 86 PatG sehe als Hauptregel vor, dass der Angeschuldigte mit der Klageanhebung zu beschweren sei. Im vorliegenden Fall sei das Patent wohl ohne Vorprüfung erteilt worden, doch fehle es an der zweiten, nach Kommentar BLUM/PEDRAZZINI kumulativ zu erfüllenden Voraussetzung. Von einem klaren Fall, bei dem der Angeschuldigte die Nichtigkeit des umstrittenen Patentes glaubhaft gemacht hätte, ohne dass irgendwelche Zweifel übrig blieben, könne "bei der derzeitigen Aktenlage nicht die Rede sein". Es bestehe daher kein Anlass, von der in Art. 86 PatG für den Regelfall festgesetzten Ordnung abzuweichen; dies umso weniger, als das Patent des Strafanzeigers früher angemeldet und erteilt worden sei.</w:t>
      </w:r>
    </w:p>
    <w:p>
      <w:r>
        <w:rPr>
          <w:b/>
        </w:rPr>
        <w:t>E. 3</w:t>
      </w:r>
    </w:p>
    <w:p>
      <w:r>
        <w:t>Der Beschwerdeführer ficht zunächst die auf dem Kommentar BLUM/PEDRAZZINI beruhende Auffassung der Staatsanwaltschaft an, wonach in der Praxis die beiden Voraussetzungen von Art. 86 Abs. 1, 2. Halbsatz PatG (Erteilung des Patentes ohne Vorprüfung und Glaubhaftmachen von Umständen, welche die Nichtigkeitseinrede als begründet erscheinen lassen) kumulativ erfüllt sein müssen, um eine Umkehrung der Parteirollen zu rechtfertigen. Der Beschwerdeführer beruft sich auf das Protokoll über die Verhandlungen des Ständerates vom 23. September 1953 S. 396 und insbesondere auf ein Votum von Ständerat Schoch sowie auf den seines Erachtens eindeutigen Gesetzestext. Er hält die von der Staatsanwaltschaft vorgenommene Parteirollenverteilung für eine klare Ermessensüberschreitung. Ob die in Art. 86 Abs. 1, 2. Halbsatz PatG genannten Voraussetzungen kumulativ erfüllt sein müssen, kann offen bleiben. BGE 94 I 199 S. 203 Eine willkürliche Parteirollenverteilung läge nämlich selbst dann nicht vor, wenn man - mit dem Beschwerdeführer und nach dem Wortlaut des Gesetzes - die Kumulation verneinte. Die genannte Bestimmung enthält eine blosse Kann-Vorschrift. Sie sagt lediglich, unter welchen Voraussetzungen der Richter (hier die Staatsanwaltschaft) von der Hauptregel abweichen darf, verpflichtet ihn dazu aber in keiner Weise. Die Auffassung des Beschwerdeführers, wonach sich die Behörde an die Grundsätze des strafrechtlichen Untersuchungsverfahrens zu halten und somit dem Staate bzw. dem Strafkläger die Klägerrolle zuzuteilen habe, schlägt angesichts des klaren Wortlautes des Gesetzes nicht durch. Art. 86 PatG ist eine Sondernorm, die den im Strafverfahren geltenden üblichen Grundsätzen vorgeht. Liegt aber eine willkürliche Parteirollenverteilung nicht vor, so kann sich die Staatsanwaltschaft umso weniger einer Ermessensüberschreitung schuldig gemacht haben. Damit erübrigt sich auch die Prüfung der Frage, ob die kantonale Instanz die Anforderungen an das Glaubhaftmachen im Sinne von Art. 86 PatG überspannte, als sie davon ausging, es dürften keine Zweifel mehr übrig bleiben. Denn selbst wenn dies zuträfe und somit beide Voraussetzungen für die Umkehrung der Parteirollen erfüllt wären, bestünde nach dem Gesagten gleichwohl keine Pflicht der Behörde, dem Strafkläger Frist zur Klage anzusetzen.</w:t>
      </w:r>
    </w:p>
    <w:p>
      <w:r>
        <w:rPr>
          <w:b/>
        </w:rPr>
        <w:t>E. 4</w:t>
      </w:r>
    </w:p>
    <w:p>
      <w:r>
        <w:t>Der Beschwerdeführer macht ausserdem eine Verweigerung des rechtlichen Gehörs geltend, weil die Staatsanwaltschaft die eingereichten Akten "völlig unberücksichtigt" gelassen habe und "nur mit allgemeinen, unzutreffenden Floskeln darüber hinwegging". Die mehrseitige diesbezügliche Begründung enthält jedoch nichts, woraus der Schluss gezogen werden könnte, die kantonale Instanz habe ein wesentliches Aktenstück oder ein anderes Beweismittel nicht gewürdigt. Sie war nicht verpflichtet, zu allen angerufenen und beigezogenen Beweismitteln Stellung zu nehmen, insbesondere nicht für den Entscheid darüber, wem in Anwendung von Art. 86 PatG die Klägerrolle zukomme. Von einer Verweigerung des rechtlichen Gehörs kann deshalb nicht gesprochen werden. Übrigens wäre für den in der Beschwerde vertretenen Standpunkt auch dann nichts gewonnen, wenn die Staatsanwaltschaft infolge schlechterdings unhaltbarer Beweiswürdigung angenommen hätte, es sei dem Beschwerdeführer nicht gelungen, Umstände BGE 94 I 199 S. 204 glaubhaft zu machen, welche die Nichtigkeitseinrede als begründet erscheinen liessen. Wie in Erw. 3 hievor dargelegt, ist der Richter selbst beim Vorliegen beider Voraussetzungen nicht verpflichtet, die Parteirollen zu vertauschen.</w:t>
      </w:r>
    </w:p>
    <w:p>
      <w:r>
        <w:rPr>
          <w:b/>
        </w:rPr>
        <w:t>E. 5</w:t>
      </w:r>
    </w:p>
    <w:p>
      <w:r>
        <w:t>Zu prüfen bleibt der Eventualantrag. Nach diesem sollte dem Beschwerdeführer gegebenenfalls nur Frist zur Klage auf Feststellung der Nichtigkeit des gegnerischenPatentes Nr.409829, nicht aber zur Klage auf Feststellung der Rechtsbeständigkeit seines eigenen Patentes Nr. 411756 angesetzt werden. Auch darauf kann nur insoweit eingetreten werden, als dies mit der kassatorischen Natur der staatsrechtlichen Beschwerde vereinbar ist. Die Staatsanwaltschaft rechtfertigt ihre Doppelverfügung damit, im vorliegenden Fall seien beide Parteien im Besitze eines Patentes für die gleiche Erfindung. Auch aus Gründen der Zweckmässigkeit und der Prozessökonomie sei es angebracht, dass der Zivilprozess gleichzeitig über beide Patente geführt werde. Demgegenüber rügt der Beschwerdeführer die Fristansetzung zur Klage auf Feststellung der Rechtsbeständigkeit des Patentes Nr. 411756 als willkürlich. Dieser Vorwurf ist begründet. Einmal gibt Art. 86 PatG der Staatsanwaltschaft kein Recht, Frist zur Feststellung der Rechtsbeständigkeit des Patentes des Beschwerdeführers anzusetzen. Ausserdem sind Patentverletzungen Antragsdelikte, so dass es dem Willen des Beschwerdeführers anheimgestellt bleibt, ob er im Falle einer Verletzung seines Patentes überhaupt klagen will. Die Verfügung der Staatsanwaltschaft erscheint daher in diesem Punkte als willkürlich und muss aufgehoben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